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09" w:rsidRDefault="0009106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 xml:space="preserve"> ΑΝΩΤΑΤΟ ΔΙΚΑΣΤΗΡΙΟ ΚΥΠΡΟΥ</w:t>
      </w:r>
    </w:p>
    <w:p w:rsidR="00A32409" w:rsidRDefault="0009106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 Εφέσεων  Διοικητικού Δικαστηρίου για </w:t>
      </w:r>
    </w:p>
    <w:p w:rsidR="00A32409" w:rsidRDefault="0009106B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04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  <w:lang w:val="el-GR"/>
        </w:rPr>
        <w:t>/2022</w:t>
      </w:r>
    </w:p>
    <w:p w:rsidR="00A32409" w:rsidRDefault="0009106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32409" w:rsidRDefault="0009106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A32409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9" w:rsidRDefault="0009106B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ΠΑΡΑΣΚΕΥΗ 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Ι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ΟΥΛΙΟΥ 2022</w:t>
            </w:r>
          </w:p>
        </w:tc>
      </w:tr>
      <w:tr w:rsidR="00A32409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9" w:rsidRDefault="0009106B">
            <w:pPr>
              <w:spacing w:before="240" w:after="24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9" w:rsidRDefault="0009106B">
            <w:pPr>
              <w:spacing w:before="240" w:after="24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ΑΙΘΟΥΣΑ ΑΡ. 2   -  9.30 π.μ.</w:t>
            </w:r>
          </w:p>
        </w:tc>
      </w:tr>
      <w:tr w:rsidR="00A32409" w:rsidRPr="00D7478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9" w:rsidRDefault="0009106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Γ.Ν.ΓΙΑΣΕΜΗΣ, Δ. ΣΩΚΡΑΤΟΥΣ, </w:t>
            </w:r>
          </w:p>
          <w:p w:rsidR="00A32409" w:rsidRDefault="0009106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Ν. ΣΑΝΤΗΣ,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9" w:rsidRPr="00D74783" w:rsidRDefault="0009106B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Κ. ΣΤΑΜΑΤΙΟΥ, Τ.Ψ.ΜΙΛΤΙΑΔΟΥ, Χ. ΜΑΛΑΧΤΟΣ, ΔΔ</w:t>
            </w:r>
          </w:p>
        </w:tc>
      </w:tr>
      <w:tr w:rsidR="00A32409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9" w:rsidRDefault="00A32409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A32409" w:rsidRDefault="0009106B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A32409" w:rsidRDefault="00A32409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A32409" w:rsidRDefault="0009106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71/14+115/14</w:t>
            </w:r>
          </w:p>
          <w:p w:rsidR="00A32409" w:rsidRDefault="00A32409">
            <w:pPr>
              <w:spacing w:after="0"/>
              <w:jc w:val="center"/>
              <w:rPr>
                <w:lang w:val="el-GR"/>
              </w:rPr>
            </w:pPr>
          </w:p>
          <w:p w:rsidR="00A32409" w:rsidRDefault="00A32409">
            <w:pPr>
              <w:spacing w:after="0"/>
              <w:jc w:val="center"/>
              <w:rPr>
                <w:lang w:val="el-GR"/>
              </w:rPr>
            </w:pPr>
          </w:p>
          <w:p w:rsidR="00A32409" w:rsidRDefault="00A32409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9" w:rsidRDefault="00A3240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32409" w:rsidRPr="00D74783" w:rsidRDefault="0009106B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  <w:r>
              <w:rPr>
                <w:rFonts w:ascii="Bookman Old Style" w:hAnsi="Bookman Old Style"/>
                <w:lang w:val="el-GR"/>
              </w:rPr>
              <w:t xml:space="preserve">  </w:t>
            </w:r>
          </w:p>
          <w:p w:rsidR="00A32409" w:rsidRPr="00D74783" w:rsidRDefault="0009106B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</w:t>
            </w:r>
            <w:r w:rsidRPr="00D74783">
              <w:rPr>
                <w:rFonts w:ascii="Bookman Old Style" w:hAnsi="Bookman Old Style"/>
                <w:lang w:val="el-GR"/>
              </w:rPr>
              <w:t>.</w:t>
            </w:r>
            <w:r>
              <w:rPr>
                <w:rFonts w:ascii="Bookman Old Style" w:hAnsi="Bookman Old Style"/>
                <w:lang w:val="el-GR"/>
              </w:rPr>
              <w:t>Δ</w:t>
            </w:r>
            <w:r w:rsidRPr="00D74783">
              <w:rPr>
                <w:rFonts w:ascii="Bookman Old Style" w:hAnsi="Bookman Old Style"/>
                <w:lang w:val="el-GR"/>
              </w:rPr>
              <w:t>.</w:t>
            </w:r>
            <w:r>
              <w:rPr>
                <w:rFonts w:ascii="Bookman Old Style" w:hAnsi="Bookman Old Style"/>
                <w:lang w:val="el-GR"/>
              </w:rPr>
              <w:t>Δ</w:t>
            </w:r>
            <w:r w:rsidRPr="00D74783">
              <w:rPr>
                <w:rFonts w:ascii="Bookman Old Style" w:hAnsi="Bookman Old Style"/>
                <w:lang w:val="el-GR"/>
              </w:rPr>
              <w:t>. 148/19</w:t>
            </w:r>
          </w:p>
          <w:p w:rsidR="00A32409" w:rsidRPr="00D74783" w:rsidRDefault="0009106B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</w:t>
            </w:r>
            <w:r w:rsidRPr="00D74783">
              <w:rPr>
                <w:rFonts w:ascii="Bookman Old Style" w:hAnsi="Bookman Old Style"/>
                <w:lang w:val="el-GR"/>
              </w:rPr>
              <w:t xml:space="preserve">   </w:t>
            </w:r>
            <w:r>
              <w:rPr>
                <w:rFonts w:ascii="Bookman Old Style" w:hAnsi="Bookman Old Style"/>
                <w:lang w:val="el-GR"/>
              </w:rPr>
              <w:t>Ε</w:t>
            </w:r>
            <w:r w:rsidRPr="00D74783">
              <w:rPr>
                <w:rFonts w:ascii="Bookman Old Style" w:hAnsi="Bookman Old Style"/>
                <w:lang w:val="el-GR"/>
              </w:rPr>
              <w:t>.</w:t>
            </w:r>
            <w:r>
              <w:rPr>
                <w:rFonts w:ascii="Bookman Old Style" w:hAnsi="Bookman Old Style"/>
                <w:lang w:val="el-GR"/>
              </w:rPr>
              <w:t>Δ</w:t>
            </w:r>
            <w:r w:rsidRPr="00D74783">
              <w:rPr>
                <w:rFonts w:ascii="Bookman Old Style" w:hAnsi="Bookman Old Style"/>
                <w:lang w:val="el-GR"/>
              </w:rPr>
              <w:t>.</w:t>
            </w:r>
            <w:r>
              <w:rPr>
                <w:rFonts w:ascii="Bookman Old Style" w:hAnsi="Bookman Old Style"/>
                <w:lang w:val="el-GR"/>
              </w:rPr>
              <w:t>Δ</w:t>
            </w:r>
            <w:r w:rsidRPr="00D74783">
              <w:rPr>
                <w:rFonts w:ascii="Bookman Old Style" w:hAnsi="Bookman Old Style"/>
                <w:lang w:val="el-GR"/>
              </w:rPr>
              <w:t>. 19/22</w:t>
            </w:r>
          </w:p>
          <w:p w:rsidR="00A32409" w:rsidRPr="00D74783" w:rsidRDefault="00A32409">
            <w:pPr>
              <w:spacing w:after="0"/>
              <w:jc w:val="center"/>
              <w:rPr>
                <w:lang w:val="el-GR"/>
              </w:rPr>
            </w:pPr>
          </w:p>
          <w:p w:rsidR="00A32409" w:rsidRDefault="0009106B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ΕΠΙΔΟΣΗ</w:t>
            </w:r>
          </w:p>
          <w:p w:rsidR="00A32409" w:rsidRDefault="0009106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6/20</w:t>
            </w:r>
          </w:p>
          <w:p w:rsidR="00A32409" w:rsidRDefault="00A3240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32409" w:rsidRDefault="0009106B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ΠΡΟΔΙΚΑΣΙΑ </w:t>
            </w:r>
          </w:p>
          <w:p w:rsidR="00A32409" w:rsidRDefault="00A32409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A32409" w:rsidRDefault="0009106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64/21</w:t>
            </w:r>
          </w:p>
          <w:p w:rsidR="00A32409" w:rsidRDefault="00A3240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A32409" w:rsidRPr="00D74783" w:rsidRDefault="0009106B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  <w:r>
              <w:rPr>
                <w:rFonts w:ascii="Bookman Old Style" w:hAnsi="Bookman Old Style"/>
                <w:lang w:val="el-GR"/>
              </w:rPr>
              <w:t xml:space="preserve">                               </w:t>
            </w:r>
          </w:p>
          <w:p w:rsidR="00A32409" w:rsidRDefault="0009106B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37/16</w:t>
            </w:r>
          </w:p>
          <w:p w:rsidR="00A32409" w:rsidRDefault="0009106B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188/19</w:t>
            </w:r>
          </w:p>
          <w:p w:rsidR="00A32409" w:rsidRDefault="0009106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86/22</w:t>
            </w:r>
          </w:p>
          <w:p w:rsidR="00A32409" w:rsidRDefault="00A32409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</w:p>
        </w:tc>
      </w:tr>
    </w:tbl>
    <w:p w:rsidR="00A32409" w:rsidRDefault="00A32409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A32409" w:rsidRDefault="0009106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 xml:space="preserve">ΑΝΩΤΑΤΟ </w:t>
      </w:r>
      <w:r>
        <w:rPr>
          <w:b/>
          <w:sz w:val="26"/>
          <w:szCs w:val="26"/>
          <w:u w:val="single"/>
          <w:lang w:val="el-GR"/>
        </w:rPr>
        <w:t>ΔΙΚΑΣΤΗΡΙΟ ΚΥΠΡΟΥ</w:t>
      </w:r>
    </w:p>
    <w:p w:rsidR="00A32409" w:rsidRDefault="0009106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A32409" w:rsidRDefault="0009106B">
      <w:pPr>
        <w:spacing w:after="120"/>
        <w:jc w:val="center"/>
      </w:pP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/07/2022 μέχρι 04/07/2022</w:t>
      </w:r>
    </w:p>
    <w:p w:rsidR="00A32409" w:rsidRDefault="0009106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32409" w:rsidRDefault="0009106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A32409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9" w:rsidRDefault="0009106B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ΔΕΥΤΕΡΑ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4 ΙΟΥΛΙΟΥ, 2022</w:t>
            </w:r>
          </w:p>
        </w:tc>
      </w:tr>
      <w:tr w:rsidR="00A32409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9" w:rsidRDefault="0009106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9" w:rsidRDefault="0009106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A32409" w:rsidRPr="00D7478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9" w:rsidRDefault="0009106B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</w:t>
            </w:r>
            <w:r>
              <w:rPr>
                <w:b/>
                <w:lang w:val="el-GR"/>
              </w:rPr>
              <w:t xml:space="preserve">Γ.Ν.ΓΙΑΣΕΜΗΣ, Δ. ΣΩΚΡΑΤΟΥΣ, </w:t>
            </w:r>
          </w:p>
          <w:p w:rsidR="00A32409" w:rsidRDefault="0009106B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9" w:rsidRPr="00D74783" w:rsidRDefault="0009106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A32409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9" w:rsidRDefault="00A32409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A32409" w:rsidRDefault="0009106B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A32409" w:rsidRDefault="00A32409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A32409" w:rsidRDefault="0009106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115/15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9" w:rsidRDefault="00A32409">
            <w:pPr>
              <w:spacing w:after="0"/>
              <w:jc w:val="center"/>
              <w:rPr>
                <w:lang w:val="el-GR"/>
              </w:rPr>
            </w:pPr>
          </w:p>
          <w:p w:rsidR="00A32409" w:rsidRDefault="00A32409">
            <w:pPr>
              <w:spacing w:after="0"/>
              <w:jc w:val="center"/>
              <w:rPr>
                <w:lang w:val="el-GR"/>
              </w:rPr>
            </w:pPr>
          </w:p>
          <w:p w:rsidR="00A32409" w:rsidRDefault="00A32409">
            <w:pPr>
              <w:spacing w:after="0"/>
              <w:jc w:val="center"/>
              <w:rPr>
                <w:lang w:val="el-GR"/>
              </w:rPr>
            </w:pPr>
          </w:p>
          <w:p w:rsidR="00A32409" w:rsidRDefault="0009106B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____________________________</w:t>
            </w:r>
          </w:p>
        </w:tc>
      </w:tr>
    </w:tbl>
    <w:p w:rsidR="00A32409" w:rsidRPr="00D74783" w:rsidRDefault="0009106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32409" w:rsidRPr="00D74783" w:rsidRDefault="0009106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A32409" w:rsidRDefault="0009106B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120"/>
        <w:jc w:val="center"/>
        <w:rPr>
          <w:lang w:val="el-GR"/>
        </w:rPr>
      </w:pPr>
    </w:p>
    <w:p w:rsidR="00A32409" w:rsidRDefault="00A32409">
      <w:pPr>
        <w:spacing w:after="0"/>
        <w:jc w:val="both"/>
        <w:rPr>
          <w:lang w:val="el-GR"/>
        </w:rPr>
      </w:pPr>
    </w:p>
    <w:p w:rsidR="00A32409" w:rsidRDefault="00A32409">
      <w:pPr>
        <w:spacing w:after="0"/>
        <w:jc w:val="both"/>
        <w:rPr>
          <w:lang w:val="el-GR"/>
        </w:rPr>
      </w:pPr>
    </w:p>
    <w:p w:rsidR="00A32409" w:rsidRDefault="00A32409">
      <w:pPr>
        <w:spacing w:after="0"/>
        <w:jc w:val="both"/>
        <w:rPr>
          <w:lang w:val="el-GR"/>
        </w:rPr>
      </w:pPr>
    </w:p>
    <w:sectPr w:rsidR="00A3240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6B" w:rsidRDefault="0009106B">
      <w:pPr>
        <w:spacing w:after="0"/>
      </w:pPr>
      <w:r>
        <w:separator/>
      </w:r>
    </w:p>
  </w:endnote>
  <w:endnote w:type="continuationSeparator" w:id="0">
    <w:p w:rsidR="0009106B" w:rsidRDefault="00091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6B" w:rsidRDefault="0009106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9106B" w:rsidRDefault="000910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32409"/>
    <w:rsid w:val="0009106B"/>
    <w:rsid w:val="00A32409"/>
    <w:rsid w:val="00D63B7C"/>
    <w:rsid w:val="00D7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62479-1B49-4F91-903A-9D078FE6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2022-06-24T09:13:00Z</cp:lastPrinted>
  <dcterms:created xsi:type="dcterms:W3CDTF">2022-06-24T11:25:00Z</dcterms:created>
  <dcterms:modified xsi:type="dcterms:W3CDTF">2022-06-24T11:25:00Z</dcterms:modified>
</cp:coreProperties>
</file>